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8C4" w:rsidRPr="00241B95" w:rsidRDefault="00327B78" w:rsidP="004C5956">
      <w:pPr>
        <w:spacing w:after="120"/>
        <w:jc w:val="center"/>
        <w:rPr>
          <w:rFonts w:cstheme="minorHAnsi"/>
          <w:b/>
          <w:bCs/>
          <w:color w:val="00B050"/>
          <w:sz w:val="32"/>
          <w:szCs w:val="32"/>
        </w:rPr>
      </w:pPr>
      <w:bookmarkStart w:id="0" w:name="_Toc218447694"/>
      <w:r w:rsidRPr="00241B95">
        <w:rPr>
          <w:rFonts w:cstheme="minorHAnsi"/>
          <w:b/>
          <w:bCs/>
          <w:color w:val="00B050"/>
          <w:sz w:val="32"/>
          <w:szCs w:val="32"/>
        </w:rPr>
        <w:t>4.4. Poluarea cu deșeuri. Impact în Delta Dunării</w:t>
      </w:r>
      <w:bookmarkEnd w:id="0"/>
    </w:p>
    <w:p w:rsidR="0038032B" w:rsidRPr="00241B95" w:rsidRDefault="0038032B" w:rsidP="004C5956">
      <w:pPr>
        <w:spacing w:after="120"/>
        <w:jc w:val="center"/>
        <w:rPr>
          <w:rFonts w:cstheme="minorHAnsi"/>
          <w:b/>
          <w:bCs/>
          <w:color w:val="00B050"/>
        </w:rPr>
      </w:pPr>
      <w:r w:rsidRPr="00241B95">
        <w:rPr>
          <w:rFonts w:cstheme="minorHAnsi"/>
          <w:b/>
          <w:bCs/>
          <w:color w:val="00B050"/>
        </w:rPr>
        <w:t>Activitate de învățare – explorare</w:t>
      </w:r>
    </w:p>
    <w:p w:rsidR="004C5956" w:rsidRPr="00241B95" w:rsidRDefault="004C5956" w:rsidP="004C5956">
      <w:pPr>
        <w:spacing w:after="120"/>
        <w:jc w:val="center"/>
        <w:rPr>
          <w:rFonts w:cstheme="minorHAnsi"/>
          <w:b/>
          <w:bCs/>
          <w:color w:val="00B050"/>
        </w:rPr>
      </w:pPr>
    </w:p>
    <w:p w:rsidR="00241B95" w:rsidRDefault="0038032B">
      <w:pPr>
        <w:pStyle w:val="TOC2"/>
        <w:tabs>
          <w:tab w:val="right" w:leader="dot" w:pos="9016"/>
        </w:tabs>
        <w:rPr>
          <w:noProof/>
        </w:rPr>
      </w:pPr>
      <w:r w:rsidRPr="00241B95"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fldChar w:fldCharType="begin"/>
      </w:r>
      <w:r w:rsidRPr="00241B95"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instrText xml:space="preserve"> TOC \o "1-3" \h \z \u </w:instrText>
      </w:r>
      <w:r w:rsidRPr="00241B95"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fldChar w:fldCharType="separate"/>
      </w:r>
      <w:hyperlink w:anchor="_Toc218610547" w:history="1">
        <w:r w:rsidR="00241B95" w:rsidRPr="00211656">
          <w:rPr>
            <w:rStyle w:val="Hyperlink"/>
            <w:noProof/>
            <w:bdr w:val="none" w:sz="0" w:space="0" w:color="auto" w:frame="1"/>
          </w:rPr>
          <w:t>Scop</w:t>
        </w:r>
        <w:r w:rsidR="00241B95">
          <w:rPr>
            <w:noProof/>
            <w:webHidden/>
          </w:rPr>
          <w:tab/>
        </w:r>
        <w:r w:rsidR="00241B95">
          <w:rPr>
            <w:noProof/>
            <w:webHidden/>
          </w:rPr>
          <w:fldChar w:fldCharType="begin"/>
        </w:r>
        <w:r w:rsidR="00241B95">
          <w:rPr>
            <w:noProof/>
            <w:webHidden/>
          </w:rPr>
          <w:instrText xml:space="preserve"> PAGEREF _Toc218610547 \h </w:instrText>
        </w:r>
        <w:r w:rsidR="00241B95">
          <w:rPr>
            <w:noProof/>
            <w:webHidden/>
          </w:rPr>
        </w:r>
        <w:r w:rsidR="00241B95">
          <w:rPr>
            <w:noProof/>
            <w:webHidden/>
          </w:rPr>
          <w:fldChar w:fldCharType="separate"/>
        </w:r>
        <w:r w:rsidR="00241B95">
          <w:rPr>
            <w:noProof/>
            <w:webHidden/>
          </w:rPr>
          <w:t>1</w:t>
        </w:r>
        <w:r w:rsidR="00241B95">
          <w:rPr>
            <w:noProof/>
            <w:webHidden/>
          </w:rPr>
          <w:fldChar w:fldCharType="end"/>
        </w:r>
      </w:hyperlink>
    </w:p>
    <w:p w:rsidR="00241B95" w:rsidRDefault="00241B95">
      <w:pPr>
        <w:pStyle w:val="TOC2"/>
        <w:tabs>
          <w:tab w:val="right" w:leader="dot" w:pos="9016"/>
        </w:tabs>
        <w:rPr>
          <w:noProof/>
        </w:rPr>
      </w:pPr>
      <w:hyperlink w:anchor="_Toc218610548" w:history="1">
        <w:r w:rsidRPr="00211656">
          <w:rPr>
            <w:rStyle w:val="Hyperlink"/>
            <w:noProof/>
            <w:bdr w:val="none" w:sz="0" w:space="0" w:color="auto" w:frame="1"/>
          </w:rPr>
          <w:t>Discipline școlare relevante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2"/>
        <w:tabs>
          <w:tab w:val="right" w:leader="dot" w:pos="9016"/>
        </w:tabs>
        <w:rPr>
          <w:noProof/>
        </w:rPr>
      </w:pPr>
      <w:hyperlink w:anchor="_Toc218610549" w:history="1">
        <w:r w:rsidRPr="00211656">
          <w:rPr>
            <w:rStyle w:val="Hyperlink"/>
            <w:noProof/>
            <w:bdr w:val="none" w:sz="0" w:space="0" w:color="auto" w:frame="1"/>
          </w:rPr>
          <w:t>Context de învățare / activități pregătitoare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2"/>
        <w:tabs>
          <w:tab w:val="right" w:leader="dot" w:pos="9016"/>
        </w:tabs>
        <w:rPr>
          <w:noProof/>
        </w:rPr>
      </w:pPr>
      <w:hyperlink w:anchor="_Toc218610550" w:history="1">
        <w:r w:rsidRPr="00211656">
          <w:rPr>
            <w:rStyle w:val="Hyperlink"/>
            <w:noProof/>
            <w:bdr w:val="none" w:sz="0" w:space="0" w:color="auto" w:frame="1"/>
          </w:rPr>
          <w:t>Materiale necesare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2"/>
        <w:tabs>
          <w:tab w:val="right" w:leader="dot" w:pos="9016"/>
        </w:tabs>
        <w:rPr>
          <w:noProof/>
        </w:rPr>
      </w:pPr>
      <w:hyperlink w:anchor="_Toc218610551" w:history="1">
        <w:r w:rsidRPr="00211656">
          <w:rPr>
            <w:rStyle w:val="Hyperlink"/>
            <w:noProof/>
            <w:bdr w:val="none" w:sz="0" w:space="0" w:color="auto" w:frame="1"/>
          </w:rPr>
          <w:t>Întrebări / probleme / soluții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552" w:history="1"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>Activit</w:t>
        </w:r>
        <w:r w:rsidRPr="00211656">
          <w:rPr>
            <w:rStyle w:val="Hyperlink"/>
            <w:rFonts w:cstheme="minorHAnsi"/>
            <w:noProof/>
            <w:bdr w:val="none" w:sz="0" w:space="0" w:color="auto" w:frame="1"/>
            <w:lang w:val="ro-RO"/>
          </w:rPr>
          <w:t>ăți</w:t>
        </w:r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 xml:space="preserve"> de grup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2"/>
        <w:tabs>
          <w:tab w:val="right" w:leader="dot" w:pos="9016"/>
        </w:tabs>
        <w:rPr>
          <w:noProof/>
        </w:rPr>
      </w:pPr>
      <w:hyperlink w:anchor="_Toc218610553" w:history="1">
        <w:r w:rsidRPr="00211656">
          <w:rPr>
            <w:rStyle w:val="Hyperlink"/>
            <w:noProof/>
            <w:bdr w:val="none" w:sz="0" w:space="0" w:color="auto" w:frame="1"/>
          </w:rPr>
          <w:t>Resurse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554" w:history="1"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 xml:space="preserve">Poluarea cu </w:t>
        </w:r>
        <w:r w:rsidRPr="00211656">
          <w:rPr>
            <w:rStyle w:val="Hyperlink"/>
            <w:rFonts w:cstheme="minorHAnsi"/>
            <w:noProof/>
            <w:bdr w:val="none" w:sz="0" w:space="0" w:color="auto" w:frame="1"/>
            <w:lang w:val="ro-RO"/>
          </w:rPr>
          <w:t>deșeuri</w:t>
        </w:r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 xml:space="preserve"> (Definiție simplistă)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555" w:history="1"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>Timpi de degradare a diverselor deșeuri: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556" w:history="1"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>Resurse Video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41B95" w:rsidRDefault="00241B9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557" w:history="1">
        <w:r w:rsidRPr="00211656">
          <w:rPr>
            <w:rStyle w:val="Hyperlink"/>
            <w:rFonts w:cstheme="minorHAnsi"/>
            <w:noProof/>
            <w:bdr w:val="none" w:sz="0" w:space="0" w:color="auto" w:frame="1"/>
          </w:rPr>
          <w:t>Grilă de evaluare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8032B" w:rsidRPr="00241B95" w:rsidRDefault="0038032B" w:rsidP="004C5956">
      <w:pPr>
        <w:spacing w:after="120"/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241B95"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fldChar w:fldCharType="end"/>
      </w:r>
    </w:p>
    <w:p w:rsidR="00D258C4" w:rsidRPr="00241B95" w:rsidRDefault="00D258C4" w:rsidP="00241B95">
      <w:pPr>
        <w:pStyle w:val="Heading2"/>
      </w:pPr>
      <w:bookmarkStart w:id="1" w:name="_Toc218610547"/>
      <w:r w:rsidRPr="00241B95">
        <w:rPr>
          <w:bdr w:val="none" w:sz="0" w:space="0" w:color="auto" w:frame="1"/>
        </w:rPr>
        <w:t>Scop</w:t>
      </w:r>
      <w:bookmarkEnd w:id="1"/>
      <w:r w:rsidRPr="00241B95">
        <w:t xml:space="preserve">  </w:t>
      </w:r>
    </w:p>
    <w:p w:rsidR="00327B78" w:rsidRPr="00241B95" w:rsidRDefault="00327B78" w:rsidP="004C5956">
      <w:pPr>
        <w:pStyle w:val="ListParagraph"/>
        <w:numPr>
          <w:ilvl w:val="0"/>
          <w:numId w:val="8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Recunoașterea tipurilor de deșeuri.</w:t>
      </w:r>
    </w:p>
    <w:p w:rsidR="00D258C4" w:rsidRPr="00241B95" w:rsidRDefault="00D258C4" w:rsidP="004C5956">
      <w:pPr>
        <w:pStyle w:val="ListParagraph"/>
        <w:numPr>
          <w:ilvl w:val="0"/>
          <w:numId w:val="8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Înțelegerea impactului poluanților (plastic, metal, </w:t>
      </w:r>
      <w:r w:rsidR="00CA5890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substanțe 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chimice, DEEE) asupra </w:t>
      </w:r>
      <w:r w:rsidR="00327B78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naturii, cu accent pe mediul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 acvatic.</w:t>
      </w:r>
    </w:p>
    <w:p w:rsidR="00D258C4" w:rsidRPr="00241B95" w:rsidRDefault="00D258C4" w:rsidP="004C5956">
      <w:pPr>
        <w:pStyle w:val="ListParagraph"/>
        <w:numPr>
          <w:ilvl w:val="0"/>
          <w:numId w:val="8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Dezvoltarea responsabilității civice prin identificarea soluțiilor de prevenire.</w:t>
      </w:r>
    </w:p>
    <w:p w:rsidR="00CA5890" w:rsidRPr="00241B95" w:rsidRDefault="00CA5890" w:rsidP="004C5956">
      <w:pPr>
        <w:pStyle w:val="ListParagraph"/>
        <w:numPr>
          <w:ilvl w:val="0"/>
          <w:numId w:val="8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Dezvoltarea abilităților de cercetare, analiză și comunicare a informațiilor științifice </w:t>
      </w:r>
    </w:p>
    <w:p w:rsidR="00D258C4" w:rsidRPr="00241B95" w:rsidRDefault="00D258C4" w:rsidP="004C5956">
      <w:pPr>
        <w:pStyle w:val="ListParagraph"/>
        <w:numPr>
          <w:ilvl w:val="0"/>
          <w:numId w:val="8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Elaborarea unui „Ghid de </w:t>
      </w:r>
      <w:r w:rsidR="00327B78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b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ună </w:t>
      </w:r>
      <w:r w:rsidR="00327B78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p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urtare în Deltă” pentru turiști și localnici, care să includă termeni tehnici explicați simplu.</w:t>
      </w:r>
    </w:p>
    <w:p w:rsidR="00CA5890" w:rsidRPr="00241B95" w:rsidRDefault="00CA5890" w:rsidP="004C5956">
      <w:pPr>
        <w:pStyle w:val="ListParagraph"/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</w:p>
    <w:p w:rsidR="00D258C4" w:rsidRPr="00241B95" w:rsidRDefault="00D258C4" w:rsidP="00241B95">
      <w:pPr>
        <w:pStyle w:val="Heading2"/>
        <w:rPr>
          <w:bdr w:val="none" w:sz="0" w:space="0" w:color="auto" w:frame="1"/>
        </w:rPr>
      </w:pPr>
      <w:bookmarkStart w:id="2" w:name="_Toc218610548"/>
      <w:r w:rsidRPr="00241B95">
        <w:rPr>
          <w:bdr w:val="none" w:sz="0" w:space="0" w:color="auto" w:frame="1"/>
        </w:rPr>
        <w:t>Discipline școlare relevante</w:t>
      </w:r>
      <w:bookmarkEnd w:id="2"/>
    </w:p>
    <w:p w:rsidR="00D258C4" w:rsidRPr="00241B95" w:rsidRDefault="00D258C4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Biologie, geografie, chimie, </w:t>
      </w:r>
      <w:r w:rsidR="00327B78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fizică, 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TIC, educație civică, educație tehnologică.</w:t>
      </w:r>
    </w:p>
    <w:p w:rsidR="00D258C4" w:rsidRPr="00241B95" w:rsidRDefault="00D258C4" w:rsidP="00241B95">
      <w:pPr>
        <w:pStyle w:val="Heading2"/>
        <w:rPr>
          <w:bdr w:val="none" w:sz="0" w:space="0" w:color="auto" w:frame="1"/>
        </w:rPr>
      </w:pPr>
      <w:bookmarkStart w:id="3" w:name="_Toc218610549"/>
      <w:r w:rsidRPr="00241B95">
        <w:rPr>
          <w:bdr w:val="none" w:sz="0" w:space="0" w:color="auto" w:frame="1"/>
        </w:rPr>
        <w:t>Context de învățare / activități pregătitoare</w:t>
      </w:r>
      <w:bookmarkEnd w:id="3"/>
    </w:p>
    <w:p w:rsidR="00D258C4" w:rsidRPr="00241B95" w:rsidRDefault="00D258C4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În pregătirea activității, elevii vor primi surse online despre </w:t>
      </w:r>
      <w:r w:rsidR="00C02BA4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categoriile de deșeuri și caracteristicile acestora. Pentru atractivitate (și </w:t>
      </w:r>
      <w:r w:rsidR="0038032B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factorul</w:t>
      </w:r>
      <w:r w:rsidR="00C02BA4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 de </w:t>
      </w:r>
      <w:r w:rsidR="0038032B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neașteptat / </w:t>
      </w:r>
      <w:r w:rsidR="00C02BA4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curiozitate), vor fi inserate informații despre 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timpii </w:t>
      </w:r>
      <w:r w:rsidR="0038032B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îndelungați 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de degradare a </w:t>
      </w:r>
      <w:r w:rsidR="0038032B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unora dintre deșeuri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 și despre fenomenul de microplastic.</w:t>
      </w:r>
    </w:p>
    <w:p w:rsidR="00D258C4" w:rsidRPr="00241B95" w:rsidRDefault="00D258C4" w:rsidP="00241B95">
      <w:pPr>
        <w:pStyle w:val="Heading2"/>
        <w:rPr>
          <w:bdr w:val="none" w:sz="0" w:space="0" w:color="auto" w:frame="1"/>
        </w:rPr>
      </w:pPr>
      <w:bookmarkStart w:id="4" w:name="_Toc218610550"/>
      <w:r w:rsidRPr="00241B95">
        <w:rPr>
          <w:bdr w:val="none" w:sz="0" w:space="0" w:color="auto" w:frame="1"/>
        </w:rPr>
        <w:t>Materiale necesare</w:t>
      </w:r>
      <w:bookmarkEnd w:id="4"/>
    </w:p>
    <w:p w:rsidR="00D258C4" w:rsidRPr="00241B95" w:rsidRDefault="00D258C4" w:rsidP="004C5956">
      <w:pPr>
        <w:numPr>
          <w:ilvl w:val="0"/>
          <w:numId w:val="2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Telefoane pentru documentare foto în teren.</w:t>
      </w:r>
    </w:p>
    <w:p w:rsidR="00D258C4" w:rsidRPr="00241B95" w:rsidRDefault="00D258C4" w:rsidP="004C5956">
      <w:pPr>
        <w:numPr>
          <w:ilvl w:val="0"/>
          <w:numId w:val="2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Acces la platforme video (YouTube).</w:t>
      </w:r>
    </w:p>
    <w:p w:rsidR="000E2D82" w:rsidRPr="00241B95" w:rsidRDefault="000E2D82" w:rsidP="004C5956">
      <w:pPr>
        <w:numPr>
          <w:ilvl w:val="0"/>
          <w:numId w:val="2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cstheme="minorHAnsi"/>
          <w:sz w:val="22"/>
          <w:szCs w:val="22"/>
        </w:rPr>
        <w:t>Cartonașe cu imagini sau denumiri de deșeuri</w:t>
      </w:r>
      <w:r w:rsidRPr="00241B95">
        <w:rPr>
          <w:rFonts w:cstheme="minorHAnsi"/>
          <w:sz w:val="22"/>
          <w:szCs w:val="22"/>
          <w:lang w:val="ro-RO"/>
        </w:rPr>
        <w:t xml:space="preserve"> (pentru activitatea în grup).</w:t>
      </w:r>
    </w:p>
    <w:p w:rsidR="00D258C4" w:rsidRPr="00241B95" w:rsidRDefault="00D258C4" w:rsidP="00241B95">
      <w:pPr>
        <w:pStyle w:val="Heading2"/>
        <w:rPr>
          <w:bdr w:val="none" w:sz="0" w:space="0" w:color="auto" w:frame="1"/>
        </w:rPr>
      </w:pPr>
      <w:bookmarkStart w:id="5" w:name="_Toc218610551"/>
      <w:r w:rsidRPr="00241B95">
        <w:rPr>
          <w:bdr w:val="none" w:sz="0" w:space="0" w:color="auto" w:frame="1"/>
        </w:rPr>
        <w:t>Întrebări / probleme / soluții</w:t>
      </w:r>
      <w:bookmarkEnd w:id="5"/>
    </w:p>
    <w:p w:rsidR="00D258C4" w:rsidRPr="00241B95" w:rsidRDefault="00E25E97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sym w:font="Wingdings" w:char="F0E0"/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 </w:t>
      </w:r>
      <w:r w:rsidR="00D258C4"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Elevilor li se va cere să </w:t>
      </w:r>
      <w:r w:rsidR="0038032B"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fie atenți la</w:t>
      </w:r>
      <w:r w:rsidR="00D258C4"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 drumul de la școală spre casă și să fotografieze 3 tipuri de deșeuri diferite găsite pe sol sau în apă. Vor completa un tabel cu: </w:t>
      </w:r>
    </w:p>
    <w:p w:rsidR="00D258C4" w:rsidRPr="00241B95" w:rsidRDefault="00D258C4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Tip deșeu | Material | Timp estimat de degradare.</w:t>
      </w:r>
    </w:p>
    <w:p w:rsidR="00D258C4" w:rsidRPr="00241B95" w:rsidRDefault="00A22E4D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sym w:font="Wingdings" w:char="F0E0"/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 </w:t>
      </w:r>
      <w:r w:rsidR="00D258C4"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Pe baza cercetării, elevii vor argumenta răspunsurile la următoarele întrebări: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lastRenderedPageBreak/>
        <w:t>Unde persistă poluarea mai mult: într-un râu care curge rapid sau într-o ghiol (lac) din Deltă? (R: În ghiol, deoarece apa stagnează și deșeurile se depun în sedimente).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Ce înseamnă că un deșeu este biodegradabil? Este un pet de plastic biodegradabil? (R: Nu, plasticul se fragmentează în microplastic, nu dispare biologic).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De ce este periculos să aruncăm baterii uzate (DEEE) în natură? (R: O singură baterie poate polua solul pe o rază de un metru timp de 50 de ani prin scurgerea de metale grele).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Este adevărat că detergenții folosiți la spălarea hainelor direct în Dunăre pot omorî peștii? (R: Da, prin procesul de </w:t>
      </w:r>
      <w:r w:rsidRPr="00241B95">
        <w:rPr>
          <w:rFonts w:eastAsia="Times New Roman" w:cstheme="minorHAnsi"/>
          <w:b/>
          <w:bCs/>
          <w:i/>
          <w:iCs/>
          <w:color w:val="1F1F1F"/>
          <w:kern w:val="0"/>
          <w:sz w:val="22"/>
          <w:szCs w:val="22"/>
          <w:lang w:eastAsia="en-GB"/>
          <w14:ligatures w14:val="none"/>
        </w:rPr>
        <w:t>eutrofizare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 – substanțele chimice dezvoltă alge care consumă oxigenul).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Cât timp îi ia unei doze de aluminiu să dispară în natură? (R: Între 80 și 200 de ani).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Ce sunt "plasele fantomă"? (R: Plase de pescuit din nylon pierdute sau abandonate care continuă să prindă și să ucidă animalele).</w:t>
      </w:r>
    </w:p>
    <w:p w:rsidR="00D258C4" w:rsidRPr="00241B95" w:rsidRDefault="00D258C4" w:rsidP="004C5956">
      <w:pPr>
        <w:pStyle w:val="ListParagraph"/>
        <w:numPr>
          <w:ilvl w:val="0"/>
          <w:numId w:val="18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Cum putem preveni poluarea în Delta dacă nu avem peste tot centre de colectare? (R: Regula „ce am adus în rucsac, iau înapoi cu mine la oraș/centru”).</w:t>
      </w:r>
    </w:p>
    <w:p w:rsidR="00E25E97" w:rsidRPr="00241B95" w:rsidRDefault="00E25E97" w:rsidP="004C5956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bookmarkStart w:id="6" w:name="_Toc218610552"/>
      <w:r w:rsidRPr="00241B95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Activit</w:t>
      </w:r>
      <w:proofErr w:type="spellStart"/>
      <w:r w:rsidRPr="00241B95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ro-RO"/>
        </w:rPr>
        <w:t>ăți</w:t>
      </w:r>
      <w:proofErr w:type="spellEnd"/>
      <w:r w:rsidRPr="00241B95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de grup</w:t>
      </w:r>
      <w:bookmarkEnd w:id="6"/>
      <w:r w:rsidRPr="00241B95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</w:p>
    <w:p w:rsidR="00E25E97" w:rsidRPr="00241B95" w:rsidRDefault="00027545" w:rsidP="004C5956">
      <w:pPr>
        <w:pStyle w:val="ListParagraph"/>
        <w:numPr>
          <w:ilvl w:val="0"/>
          <w:numId w:val="7"/>
        </w:numPr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„Jurnalist de mediu” </w:t>
      </w:r>
      <w:r w:rsidR="00E25E97"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În activitatea de grup, elevii vor crea un infografic sau un articol, explicând ce se întâmplă cu un deșeu după ce este aruncat în Dunăre, pe înțelesul pescarilor și al turiștilor.</w:t>
      </w:r>
    </w:p>
    <w:p w:rsidR="00027545" w:rsidRPr="00241B95" w:rsidRDefault="00027545" w:rsidP="004C5956">
      <w:pPr>
        <w:pStyle w:val="ListParagraph"/>
        <w:spacing w:after="120"/>
        <w:ind w:left="36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</w:p>
    <w:p w:rsidR="00E25E97" w:rsidRPr="00241B95" w:rsidRDefault="00E25E97" w:rsidP="004C5956">
      <w:pPr>
        <w:pStyle w:val="NormalWeb"/>
        <w:numPr>
          <w:ilvl w:val="0"/>
          <w:numId w:val="7"/>
        </w:numPr>
        <w:spacing w:before="0" w:beforeAutospacing="0" w:after="12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241B9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„Clasifică deșeurile”</w:t>
      </w:r>
      <w:r w:rsidR="00027545" w:rsidRPr="00241B95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ro-RO"/>
        </w:rPr>
        <w:t xml:space="preserve"> – o activitate interactivă, în echipă, care va 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ajuta e</w:t>
      </w:r>
      <w:r w:rsidRPr="00241B95">
        <w:rPr>
          <w:rFonts w:asciiTheme="minorHAnsi" w:hAnsiTheme="minorHAnsi" w:cstheme="minorHAnsi"/>
          <w:sz w:val="22"/>
          <w:szCs w:val="22"/>
        </w:rPr>
        <w:t xml:space="preserve">levii 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 xml:space="preserve">să </w:t>
      </w:r>
      <w:r w:rsidRPr="00241B95">
        <w:rPr>
          <w:rFonts w:asciiTheme="minorHAnsi" w:hAnsiTheme="minorHAnsi" w:cstheme="minorHAnsi"/>
          <w:sz w:val="22"/>
          <w:szCs w:val="22"/>
        </w:rPr>
        <w:t>identific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e</w:t>
      </w:r>
      <w:r w:rsidRPr="00241B95">
        <w:rPr>
          <w:rFonts w:asciiTheme="minorHAnsi" w:hAnsiTheme="minorHAnsi" w:cstheme="minorHAnsi"/>
          <w:sz w:val="22"/>
          <w:szCs w:val="22"/>
        </w:rPr>
        <w:t xml:space="preserve"> și înțele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a</w:t>
      </w:r>
      <w:r w:rsidRPr="00241B95">
        <w:rPr>
          <w:rFonts w:asciiTheme="minorHAnsi" w:hAnsiTheme="minorHAnsi" w:cstheme="minorHAnsi"/>
          <w:sz w:val="22"/>
          <w:szCs w:val="22"/>
        </w:rPr>
        <w:t>g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241B95">
        <w:rPr>
          <w:rFonts w:asciiTheme="minorHAnsi" w:hAnsiTheme="minorHAnsi" w:cstheme="minorHAnsi"/>
          <w:sz w:val="22"/>
          <w:szCs w:val="22"/>
        </w:rPr>
        <w:t xml:space="preserve"> 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tipurile principale de deșeuri</w:t>
      </w:r>
      <w:r w:rsidRPr="00241B95">
        <w:rPr>
          <w:rFonts w:asciiTheme="minorHAnsi" w:hAnsiTheme="minorHAnsi" w:cstheme="minorHAnsi"/>
          <w:sz w:val="22"/>
          <w:szCs w:val="22"/>
        </w:rPr>
        <w:t xml:space="preserve"> și caracteristicile fiecărei categorii: plastic, metal, sticlă, hârtie și carton, DEEE (deșeuri electrice și electronice), substanțe chimice, biodegradabile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, deșeuri periculoase</w:t>
      </w:r>
      <w:r w:rsidRPr="00241B95">
        <w:rPr>
          <w:rFonts w:asciiTheme="minorHAnsi" w:hAnsiTheme="minorHAnsi" w:cstheme="minorHAnsi"/>
          <w:sz w:val="22"/>
          <w:szCs w:val="22"/>
        </w:rPr>
        <w:t>.</w:t>
      </w:r>
    </w:p>
    <w:p w:rsidR="00E25E97" w:rsidRPr="00241B95" w:rsidRDefault="00E25E97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Materiale necesare:</w:t>
      </w:r>
      <w:r w:rsidR="00027545" w:rsidRPr="00241B95">
        <w:rPr>
          <w:rStyle w:val="Strong"/>
          <w:rFonts w:cstheme="minorHAnsi"/>
          <w:b w:val="0"/>
          <w:bCs w:val="0"/>
          <w:sz w:val="22"/>
          <w:szCs w:val="22"/>
          <w:lang w:val="ro-RO"/>
        </w:rPr>
        <w:t xml:space="preserve"> </w:t>
      </w:r>
      <w:r w:rsidRPr="00241B95">
        <w:rPr>
          <w:rFonts w:cstheme="minorHAnsi"/>
          <w:sz w:val="22"/>
          <w:szCs w:val="22"/>
        </w:rPr>
        <w:t>Cartonașe cu imagini sau denumiri de deșeuri (sticlă, cutii metal, pungi, baterii, resturi alimentare, hârtii, becuri vechi</w:t>
      </w:r>
      <w:r w:rsidRPr="00241B95">
        <w:rPr>
          <w:rFonts w:cstheme="minorHAnsi"/>
          <w:sz w:val="22"/>
          <w:szCs w:val="22"/>
          <w:lang w:val="ro-RO"/>
        </w:rPr>
        <w:t xml:space="preserve">, folii de medicamente, tuburi cu vopsea de păr, </w:t>
      </w:r>
      <w:r w:rsidRPr="00241B95">
        <w:rPr>
          <w:rFonts w:cstheme="minorHAnsi"/>
          <w:sz w:val="22"/>
          <w:szCs w:val="22"/>
        </w:rPr>
        <w:t>ambalaje de produse cosmetice etc.)</w:t>
      </w:r>
      <w:r w:rsidR="00327B78" w:rsidRPr="00241B95">
        <w:rPr>
          <w:rFonts w:cstheme="minorHAnsi"/>
          <w:sz w:val="22"/>
          <w:szCs w:val="22"/>
        </w:rPr>
        <w:t>.</w:t>
      </w:r>
    </w:p>
    <w:p w:rsidR="00327B78" w:rsidRPr="00241B95" w:rsidRDefault="00327B78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  <w:r w:rsidRPr="00241B95">
        <w:rPr>
          <w:rFonts w:cstheme="minorHAnsi"/>
          <w:sz w:val="22"/>
          <w:szCs w:val="22"/>
        </w:rPr>
        <w:t xml:space="preserve">Împărțiți în echipe de 3–4 persoane, elevii primesc cât un set de cartonașe cu imagini de </w:t>
      </w:r>
      <w:r w:rsidRPr="00241B95">
        <w:rPr>
          <w:rStyle w:val="Strong"/>
          <w:rFonts w:cstheme="minorHAnsi"/>
          <w:b w:val="0"/>
          <w:bCs w:val="0"/>
          <w:sz w:val="22"/>
          <w:szCs w:val="22"/>
        </w:rPr>
        <w:t xml:space="preserve">deșeuri. </w:t>
      </w:r>
    </w:p>
    <w:p w:rsidR="00327B78" w:rsidRPr="00241B95" w:rsidRDefault="00327B78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 xml:space="preserve">Sarcina echipelor este să sorteze </w:t>
      </w:r>
      <w:r w:rsidR="000E2D82" w:rsidRPr="00241B95">
        <w:rPr>
          <w:rStyle w:val="Strong"/>
          <w:rFonts w:cstheme="minorHAnsi"/>
          <w:b w:val="0"/>
          <w:bCs w:val="0"/>
          <w:sz w:val="22"/>
          <w:szCs w:val="22"/>
          <w:lang w:val="ro-RO"/>
        </w:rPr>
        <w:t>„</w:t>
      </w: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deșeurile</w:t>
      </w:r>
      <w:r w:rsidR="000E2D82" w:rsidRPr="00241B95">
        <w:rPr>
          <w:rStyle w:val="Strong"/>
          <w:rFonts w:cstheme="minorHAnsi"/>
          <w:b w:val="0"/>
          <w:bCs w:val="0"/>
          <w:sz w:val="22"/>
          <w:szCs w:val="22"/>
          <w:lang w:val="ro-RO"/>
        </w:rPr>
        <w:t>”</w:t>
      </w:r>
      <w:r w:rsidRPr="00241B95">
        <w:rPr>
          <w:rStyle w:val="Strong"/>
          <w:rFonts w:cstheme="minorHAnsi"/>
          <w:b w:val="0"/>
          <w:bCs w:val="0"/>
          <w:sz w:val="22"/>
          <w:szCs w:val="22"/>
        </w:rPr>
        <w:t xml:space="preserve"> pe categorii și să noteze caracteristicile fiecărei categorii (ex: plastic = ușor, durabil, se reciclează; DEEE = conține substanțe toxice).</w:t>
      </w:r>
    </w:p>
    <w:p w:rsidR="00E25E97" w:rsidRPr="00241B95" w:rsidRDefault="00327B78" w:rsidP="004C5956">
      <w:pPr>
        <w:pStyle w:val="NormalWeb"/>
        <w:spacing w:before="0" w:beforeAutospacing="0" w:after="120" w:afterAutospacing="0"/>
        <w:rPr>
          <w:rStyle w:val="Strong"/>
          <w:rFonts w:asciiTheme="minorHAnsi" w:eastAsiaTheme="minorHAnsi" w:hAnsiTheme="minorHAnsi" w:cstheme="minorHAnsi"/>
          <w:b w:val="0"/>
          <w:bCs w:val="0"/>
          <w:kern w:val="2"/>
          <w:sz w:val="22"/>
          <w:szCs w:val="22"/>
          <w:lang w:eastAsia="en-US"/>
          <w14:ligatures w14:val="standardContextual"/>
        </w:rPr>
      </w:pPr>
      <w:r w:rsidRPr="00241B95">
        <w:rPr>
          <w:rStyle w:val="Strong"/>
          <w:rFonts w:asciiTheme="minorHAnsi" w:eastAsiaTheme="minorHAnsi" w:hAnsiTheme="minorHAnsi" w:cstheme="minorHAnsi"/>
          <w:b w:val="0"/>
          <w:bCs w:val="0"/>
          <w:kern w:val="2"/>
          <w:sz w:val="22"/>
          <w:szCs w:val="22"/>
          <w:lang w:eastAsia="en-US"/>
          <w14:ligatures w14:val="standardContextual"/>
        </w:rPr>
        <w:t>D</w:t>
      </w:r>
      <w:r w:rsidR="00E25E97" w:rsidRPr="00241B95">
        <w:rPr>
          <w:rStyle w:val="Strong"/>
          <w:rFonts w:asciiTheme="minorHAnsi" w:eastAsiaTheme="minorHAnsi" w:hAnsiTheme="minorHAnsi" w:cstheme="minorHAnsi"/>
          <w:b w:val="0"/>
          <w:bCs w:val="0"/>
          <w:kern w:val="2"/>
          <w:sz w:val="22"/>
          <w:szCs w:val="22"/>
          <w:lang w:eastAsia="en-US"/>
          <w14:ligatures w14:val="standardContextual"/>
        </w:rPr>
        <w:t>upă 10–15 minute, fiecare echipă prezintă categoriile identificate și explicațiile lor, eventual cu exemple din Delta Dunării.</w:t>
      </w:r>
    </w:p>
    <w:p w:rsidR="00241B95" w:rsidRDefault="00241B95" w:rsidP="004C5956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D258C4" w:rsidRPr="00241B95" w:rsidRDefault="00D258C4" w:rsidP="00241B95">
      <w:pPr>
        <w:pStyle w:val="Heading2"/>
      </w:pPr>
      <w:bookmarkStart w:id="7" w:name="_Toc218610553"/>
      <w:r w:rsidRPr="00241B95">
        <w:rPr>
          <w:bdr w:val="none" w:sz="0" w:space="0" w:color="auto" w:frame="1"/>
        </w:rPr>
        <w:t>Resurse</w:t>
      </w:r>
      <w:bookmarkEnd w:id="7"/>
      <w:r w:rsidRPr="00241B95">
        <w:t xml:space="preserve"> </w:t>
      </w:r>
    </w:p>
    <w:p w:rsidR="00241B95" w:rsidRPr="00241B95" w:rsidRDefault="00D258C4" w:rsidP="00241B95">
      <w:pPr>
        <w:pStyle w:val="Heading3"/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</w:pPr>
      <w:bookmarkStart w:id="8" w:name="_Toc218610554"/>
      <w:r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  <w:t xml:space="preserve">Poluarea cu </w:t>
      </w:r>
      <w:r w:rsidR="00241B95"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  <w:lang w:val="ro-RO"/>
        </w:rPr>
        <w:t>deșeuri</w:t>
      </w:r>
      <w:r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  <w:t xml:space="preserve"> (Definiție simplistă)</w:t>
      </w:r>
      <w:bookmarkEnd w:id="8"/>
    </w:p>
    <w:p w:rsidR="00D258C4" w:rsidRDefault="00D258C4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Introducerea </w:t>
      </w:r>
      <w:r w:rsidR="00241B95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 xml:space="preserve">în natură sau în comunități a diferitelor 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de substanțe sau obiecte create de om care perturbă sănătatea animalelor, plantelor și oamenilor.</w:t>
      </w:r>
    </w:p>
    <w:p w:rsidR="00241B95" w:rsidRPr="00241B95" w:rsidRDefault="00241B95" w:rsidP="004C5956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</w:p>
    <w:p w:rsidR="00D258C4" w:rsidRPr="00241B95" w:rsidRDefault="00D258C4" w:rsidP="00241B95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DEEE (Deșeuri de Echipamente Electrice și Electronice):</w:t>
      </w:r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 xml:space="preserve"> Conțin substanțe toxice (mercur, plumb). </w:t>
      </w:r>
    </w:p>
    <w:p w:rsidR="004C5956" w:rsidRPr="00241B95" w:rsidRDefault="004C5956" w:rsidP="004C5956">
      <w:pPr>
        <w:spacing w:after="120"/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val="ro-RO" w:eastAsia="en-GB"/>
          <w14:ligatures w14:val="none"/>
        </w:rPr>
      </w:pPr>
    </w:p>
    <w:p w:rsidR="00D258C4" w:rsidRPr="00241B95" w:rsidRDefault="00E74150" w:rsidP="00241B95">
      <w:pPr>
        <w:pStyle w:val="Heading3"/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</w:pPr>
      <w:bookmarkStart w:id="9" w:name="_Toc218610555"/>
      <w:r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  <w:t>Timpi de degradare a diverselor deșeuri:</w:t>
      </w:r>
      <w:bookmarkEnd w:id="9"/>
    </w:p>
    <w:p w:rsidR="00E74150" w:rsidRPr="00241B95" w:rsidRDefault="00E74150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Plastic</w:t>
      </w:r>
    </w:p>
    <w:p w:rsidR="00E74150" w:rsidRPr="00241B95" w:rsidRDefault="00E74150" w:rsidP="004C5956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Sticlă PET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450–500 de ani</w:t>
      </w:r>
    </w:p>
    <w:p w:rsidR="00E74150" w:rsidRPr="00241B95" w:rsidRDefault="00E74150" w:rsidP="004C5956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lastRenderedPageBreak/>
        <w:t>Pungi de plastic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100–200 de ani</w:t>
      </w:r>
    </w:p>
    <w:p w:rsidR="00E74150" w:rsidRPr="00241B95" w:rsidRDefault="00E74150" w:rsidP="004C5956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Paie / tacâmuri din plastic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200 de ani</w:t>
      </w:r>
      <w:r w:rsidR="00D16078" w:rsidRPr="00241B95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Pr="00241B95">
        <w:rPr>
          <w:rFonts w:asciiTheme="minorHAnsi" w:hAnsiTheme="minorHAnsi" w:cstheme="minorHAnsi"/>
          <w:sz w:val="22"/>
          <w:szCs w:val="22"/>
        </w:rPr>
        <w:t xml:space="preserve">Plasticul se fragmentează în microplastice, dar 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nu dispare complet</w:t>
      </w:r>
      <w:r w:rsidRPr="00241B95">
        <w:rPr>
          <w:rFonts w:asciiTheme="minorHAnsi" w:hAnsiTheme="minorHAnsi" w:cstheme="minorHAnsi"/>
          <w:sz w:val="22"/>
          <w:szCs w:val="22"/>
        </w:rPr>
        <w:t>.</w:t>
      </w:r>
    </w:p>
    <w:p w:rsidR="004C5956" w:rsidRPr="00241B95" w:rsidRDefault="004C5956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</w:p>
    <w:p w:rsidR="00E74150" w:rsidRPr="00241B95" w:rsidRDefault="00E74150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Metal</w:t>
      </w:r>
    </w:p>
    <w:p w:rsidR="00E74150" w:rsidRPr="00241B95" w:rsidRDefault="00E74150" w:rsidP="004C5956">
      <w:pPr>
        <w:pStyle w:val="NormalWeb"/>
        <w:numPr>
          <w:ilvl w:val="0"/>
          <w:numId w:val="11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Doze de aluminiu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200–500 de ani</w:t>
      </w:r>
    </w:p>
    <w:p w:rsidR="00E74150" w:rsidRPr="00241B95" w:rsidRDefault="00E74150" w:rsidP="004C5956">
      <w:pPr>
        <w:pStyle w:val="NormalWeb"/>
        <w:numPr>
          <w:ilvl w:val="0"/>
          <w:numId w:val="11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Conserve din oțel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50–100 de ani</w:t>
      </w:r>
      <w:r w:rsidR="00D16078" w:rsidRPr="00241B95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Pr="00241B95">
        <w:rPr>
          <w:rFonts w:asciiTheme="minorHAnsi" w:hAnsiTheme="minorHAnsi" w:cstheme="minorHAnsi"/>
          <w:sz w:val="22"/>
          <w:szCs w:val="22"/>
        </w:rPr>
        <w:t xml:space="preserve">Metalele se degradează greu, dar 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se pot recicla la nesfârșit</w:t>
      </w:r>
      <w:r w:rsidRPr="00241B95">
        <w:rPr>
          <w:rFonts w:asciiTheme="minorHAnsi" w:hAnsiTheme="minorHAnsi" w:cstheme="minorHAnsi"/>
          <w:sz w:val="22"/>
          <w:szCs w:val="22"/>
        </w:rPr>
        <w:t>.</w:t>
      </w:r>
    </w:p>
    <w:p w:rsidR="004C5956" w:rsidRPr="00241B95" w:rsidRDefault="004C5956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</w:p>
    <w:p w:rsidR="00E74150" w:rsidRPr="00241B95" w:rsidRDefault="00E74150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Sticlă</w:t>
      </w:r>
    </w:p>
    <w:p w:rsidR="00E74150" w:rsidRPr="00241B95" w:rsidRDefault="00E74150" w:rsidP="004C5956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Sticle și borcane de sticlă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1.000.000 de ani (aproape deloc)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. De fapt, s</w:t>
      </w:r>
      <w:r w:rsidRPr="00241B95">
        <w:rPr>
          <w:rFonts w:asciiTheme="minorHAnsi" w:hAnsiTheme="minorHAnsi" w:cstheme="minorHAnsi"/>
          <w:sz w:val="22"/>
          <w:szCs w:val="22"/>
        </w:rPr>
        <w:t>ticla nu se descompune natural, doar se sparge în bucăți mai mici.</w:t>
      </w:r>
    </w:p>
    <w:p w:rsidR="004C5956" w:rsidRPr="00241B95" w:rsidRDefault="004C5956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</w:p>
    <w:p w:rsidR="00E74150" w:rsidRPr="00241B95" w:rsidRDefault="00E74150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Deșeuri periculoase / DEEE</w:t>
      </w:r>
    </w:p>
    <w:p w:rsidR="00E74150" w:rsidRPr="00241B95" w:rsidRDefault="00E74150" w:rsidP="004C5956">
      <w:pPr>
        <w:pStyle w:val="NormalWeb"/>
        <w:numPr>
          <w:ilvl w:val="0"/>
          <w:numId w:val="13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Baterii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100–500 de ani</w:t>
      </w:r>
    </w:p>
    <w:p w:rsidR="00E74150" w:rsidRPr="00241B95" w:rsidRDefault="00E74150" w:rsidP="004C5956">
      <w:pPr>
        <w:pStyle w:val="NormalWeb"/>
        <w:numPr>
          <w:ilvl w:val="0"/>
          <w:numId w:val="13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Aparate electrice (telefon, telecomandă)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sute de ani</w:t>
      </w:r>
      <w:r w:rsidRPr="00241B95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Pr="00241B9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o-RO"/>
        </w:rPr>
        <w:t>În plus, c</w:t>
      </w:r>
      <w:r w:rsidRPr="00241B95">
        <w:rPr>
          <w:rFonts w:asciiTheme="minorHAnsi" w:hAnsiTheme="minorHAnsi" w:cstheme="minorHAnsi"/>
          <w:sz w:val="22"/>
          <w:szCs w:val="22"/>
        </w:rPr>
        <w:t xml:space="preserve">onțin substanțe toxice care pot polua solul și apa </w:t>
      </w:r>
      <w:r w:rsidRPr="00241B9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foarte rapid</w:t>
      </w:r>
      <w:r w:rsidRPr="00241B95">
        <w:rPr>
          <w:rFonts w:asciiTheme="minorHAnsi" w:hAnsiTheme="minorHAnsi" w:cstheme="minorHAnsi"/>
          <w:sz w:val="22"/>
          <w:szCs w:val="22"/>
        </w:rPr>
        <w:t>, chiar dacă obiectul pare mic.</w:t>
      </w:r>
    </w:p>
    <w:p w:rsidR="004C5956" w:rsidRPr="00241B95" w:rsidRDefault="004C5956" w:rsidP="004C5956">
      <w:pPr>
        <w:spacing w:after="120"/>
        <w:rPr>
          <w:rStyle w:val="Strong"/>
          <w:rFonts w:cstheme="minorHAnsi"/>
          <w:b w:val="0"/>
          <w:bCs w:val="0"/>
          <w:sz w:val="22"/>
          <w:szCs w:val="22"/>
        </w:rPr>
      </w:pPr>
    </w:p>
    <w:p w:rsidR="00E74150" w:rsidRPr="00241B95" w:rsidRDefault="00E74150" w:rsidP="004C5956">
      <w:pPr>
        <w:spacing w:after="120"/>
        <w:rPr>
          <w:rFonts w:cstheme="minorHAnsi"/>
          <w:sz w:val="22"/>
          <w:szCs w:val="22"/>
        </w:rPr>
      </w:pPr>
      <w:r w:rsidRPr="00241B95">
        <w:rPr>
          <w:rStyle w:val="Strong"/>
          <w:rFonts w:cstheme="minorHAnsi"/>
          <w:b w:val="0"/>
          <w:bCs w:val="0"/>
          <w:sz w:val="22"/>
          <w:szCs w:val="22"/>
        </w:rPr>
        <w:t>Altele</w:t>
      </w:r>
    </w:p>
    <w:p w:rsidR="00E74150" w:rsidRPr="00241B95" w:rsidRDefault="00E74150" w:rsidP="004C5956">
      <w:pPr>
        <w:pStyle w:val="Normal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Chiștoace de țigară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10–15 ani</w:t>
      </w:r>
      <w:r w:rsidR="00D16078" w:rsidRPr="00241B95">
        <w:rPr>
          <w:rStyle w:val="Strong"/>
          <w:rFonts w:asciiTheme="minorHAnsi" w:hAnsiTheme="minorHAnsi" w:cstheme="minorHAnsi"/>
          <w:sz w:val="22"/>
          <w:szCs w:val="22"/>
          <w:lang w:val="ro-RO"/>
        </w:rPr>
        <w:t>.</w:t>
      </w:r>
      <w:r w:rsidR="004C5956" w:rsidRPr="00241B95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16078" w:rsidRPr="00241B95">
        <w:rPr>
          <w:rFonts w:asciiTheme="minorHAnsi" w:hAnsiTheme="minorHAnsi" w:cstheme="minorHAnsi"/>
          <w:sz w:val="22"/>
          <w:szCs w:val="22"/>
          <w:lang w:val="ro-RO"/>
        </w:rPr>
        <w:t>D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>eși sunt</w:t>
      </w:r>
      <w:r w:rsidRPr="00241B95">
        <w:rPr>
          <w:rFonts w:asciiTheme="minorHAnsi" w:hAnsiTheme="minorHAnsi" w:cstheme="minorHAnsi"/>
          <w:sz w:val="22"/>
          <w:szCs w:val="22"/>
        </w:rPr>
        <w:t xml:space="preserve"> mici</w:t>
      </w:r>
      <w:r w:rsidRPr="00241B95">
        <w:rPr>
          <w:rFonts w:asciiTheme="minorHAnsi" w:hAnsiTheme="minorHAnsi" w:cstheme="minorHAnsi"/>
          <w:sz w:val="22"/>
          <w:szCs w:val="22"/>
          <w:lang w:val="ro-RO"/>
        </w:rPr>
        <w:t xml:space="preserve"> și par insignifiante</w:t>
      </w:r>
      <w:r w:rsidRPr="00241B95">
        <w:rPr>
          <w:rFonts w:asciiTheme="minorHAnsi" w:hAnsiTheme="minorHAnsi" w:cstheme="minorHAnsi"/>
          <w:sz w:val="22"/>
          <w:szCs w:val="22"/>
        </w:rPr>
        <w:t>, conțin plastic și substanțe toxice</w:t>
      </w:r>
    </w:p>
    <w:p w:rsidR="00E74150" w:rsidRPr="00241B95" w:rsidRDefault="00E74150" w:rsidP="004C5956">
      <w:pPr>
        <w:pStyle w:val="Normal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Scutece de unică folosință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~</w:t>
      </w:r>
      <w:r w:rsidRPr="00241B95">
        <w:rPr>
          <w:rStyle w:val="Strong"/>
          <w:rFonts w:asciiTheme="minorHAnsi" w:hAnsiTheme="minorHAnsi" w:cstheme="minorHAnsi"/>
          <w:sz w:val="22"/>
          <w:szCs w:val="22"/>
        </w:rPr>
        <w:t>400–500 de ani</w:t>
      </w:r>
    </w:p>
    <w:p w:rsidR="004C5956" w:rsidRPr="00241B95" w:rsidRDefault="004C5956" w:rsidP="004C5956">
      <w:pPr>
        <w:spacing w:after="120"/>
        <w:rPr>
          <w:rFonts w:cstheme="minorHAnsi"/>
          <w:b/>
          <w:bCs/>
          <w:sz w:val="22"/>
          <w:szCs w:val="22"/>
          <w:u w:val="single"/>
        </w:rPr>
      </w:pPr>
    </w:p>
    <w:p w:rsidR="00E74150" w:rsidRPr="00241B95" w:rsidRDefault="00E74150" w:rsidP="004C5956">
      <w:pPr>
        <w:spacing w:after="120"/>
        <w:rPr>
          <w:rFonts w:cstheme="minorHAnsi"/>
          <w:b/>
          <w:bCs/>
          <w:sz w:val="22"/>
          <w:szCs w:val="22"/>
          <w:u w:val="single"/>
        </w:rPr>
      </w:pPr>
      <w:r w:rsidRPr="00241B95">
        <w:rPr>
          <w:rFonts w:cstheme="minorHAnsi"/>
          <w:b/>
          <w:bCs/>
          <w:sz w:val="22"/>
          <w:szCs w:val="22"/>
          <w:u w:val="single"/>
        </w:rPr>
        <w:t>Pentru comparație (deșeuri care se degradează rapid)</w:t>
      </w:r>
    </w:p>
    <w:p w:rsidR="00E74150" w:rsidRPr="00241B95" w:rsidRDefault="00E74150" w:rsidP="004C5956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Resturi de fructe/legume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câteva săptămâni</w:t>
      </w:r>
    </w:p>
    <w:p w:rsidR="00E74150" w:rsidRPr="00241B95" w:rsidRDefault="00E74150" w:rsidP="004C5956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Hârtie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2–5 luni</w:t>
      </w:r>
    </w:p>
    <w:p w:rsidR="00E74150" w:rsidRPr="00241B95" w:rsidRDefault="00E74150" w:rsidP="004C5956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41B95">
        <w:rPr>
          <w:rStyle w:val="Strong"/>
          <w:rFonts w:asciiTheme="minorHAnsi" w:hAnsiTheme="minorHAnsi" w:cstheme="minorHAnsi"/>
          <w:sz w:val="22"/>
          <w:szCs w:val="22"/>
        </w:rPr>
        <w:t>Carton</w:t>
      </w:r>
      <w:r w:rsidRPr="00241B95">
        <w:rPr>
          <w:rFonts w:asciiTheme="minorHAnsi" w:hAnsiTheme="minorHAnsi" w:cstheme="minorHAnsi"/>
          <w:sz w:val="22"/>
          <w:szCs w:val="22"/>
        </w:rPr>
        <w:t xml:space="preserve"> – câteva luni</w:t>
      </w:r>
    </w:p>
    <w:p w:rsidR="00E74150" w:rsidRPr="00241B95" w:rsidRDefault="00E74150" w:rsidP="004C5956">
      <w:pPr>
        <w:spacing w:after="120"/>
        <w:rPr>
          <w:rFonts w:eastAsia="Times New Roman" w:cstheme="minorHAnsi"/>
          <w:b/>
          <w:bCs/>
          <w:color w:val="1F1F1F"/>
          <w:kern w:val="0"/>
          <w:sz w:val="22"/>
          <w:szCs w:val="22"/>
          <w:bdr w:val="none" w:sz="0" w:space="0" w:color="auto" w:frame="1"/>
          <w:lang w:val="ro-RO" w:eastAsia="en-GB"/>
          <w14:ligatures w14:val="none"/>
        </w:rPr>
      </w:pPr>
    </w:p>
    <w:p w:rsidR="00D258C4" w:rsidRPr="00241B95" w:rsidRDefault="00D258C4" w:rsidP="00241B95">
      <w:pPr>
        <w:pStyle w:val="Heading3"/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</w:pPr>
      <w:bookmarkStart w:id="10" w:name="_Toc218610556"/>
      <w:r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  <w:t>Resurse Video</w:t>
      </w:r>
      <w:bookmarkEnd w:id="10"/>
    </w:p>
    <w:p w:rsidR="000E2D82" w:rsidRPr="00241B95" w:rsidRDefault="000E2D82" w:rsidP="004C5956">
      <w:pPr>
        <w:numPr>
          <w:ilvl w:val="0"/>
          <w:numId w:val="4"/>
        </w:numPr>
        <w:spacing w:after="120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Video </w:t>
      </w:r>
      <w:proofErr w:type="spellStart"/>
      <w:r w:rsidR="00241B95">
        <w:rPr>
          <w:rFonts w:eastAsia="Times New Roman" w:cstheme="minorHAnsi"/>
          <w:kern w:val="0"/>
          <w:sz w:val="22"/>
          <w:szCs w:val="22"/>
          <w:lang w:val="ro-RO" w:eastAsia="en-GB"/>
          <w14:ligatures w14:val="none"/>
        </w:rPr>
        <w:t>ref</w:t>
      </w:r>
      <w:proofErr w:type="spellEnd"/>
      <w:r w:rsidR="00241B95">
        <w:rPr>
          <w:rFonts w:eastAsia="Times New Roman" w:cstheme="minorHAnsi"/>
          <w:kern w:val="0"/>
          <w:sz w:val="22"/>
          <w:szCs w:val="22"/>
          <w:lang w:val="ro-RO" w:eastAsia="en-GB"/>
          <w14:ligatures w14:val="none"/>
        </w:rPr>
        <w:t>.</w:t>
      </w:r>
      <w:r w:rsidRPr="00241B9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colectarea selectivă pentru elevi: </w:t>
      </w:r>
      <w:hyperlink r:id="rId7" w:history="1">
        <w:r w:rsidRPr="00241B95"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YouTube – Colectarea selectivă a deșeurilor</w:t>
        </w:r>
      </w:hyperlink>
      <w:r w:rsidRPr="00241B9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(7 min)</w:t>
      </w:r>
    </w:p>
    <w:p w:rsidR="00D258C4" w:rsidRDefault="00D258C4" w:rsidP="004C5956">
      <w:pPr>
        <w:numPr>
          <w:ilvl w:val="0"/>
          <w:numId w:val="4"/>
        </w:num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  <w:r w:rsidRPr="00241B95">
        <w:rPr>
          <w:rFonts w:eastAsia="Times New Roman" w:cstheme="minorHAnsi"/>
          <w:color w:val="1F1F1F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Ce facem cu deșeurile electrice? </w:t>
      </w:r>
      <w:hyperlink r:id="rId8" w:history="1">
        <w:r w:rsidR="00241B95" w:rsidRPr="0009241C">
          <w:rPr>
            <w:rStyle w:val="Hyperlink"/>
            <w:rFonts w:eastAsia="Times New Roman" w:cstheme="minorHAnsi"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https://www.youtube.com/watch?v=hNXtXYHzNMM&amp;t=4s</w:t>
        </w:r>
      </w:hyperlink>
      <w:r w:rsidRPr="00241B95"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  <w:t>.</w:t>
      </w:r>
    </w:p>
    <w:p w:rsidR="00241B95" w:rsidRDefault="00241B95" w:rsidP="00241B95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eastAsia="en-GB"/>
          <w14:ligatures w14:val="none"/>
        </w:rPr>
      </w:pPr>
    </w:p>
    <w:p w:rsidR="00241B95" w:rsidRPr="00241B95" w:rsidRDefault="00241B95" w:rsidP="00241B95">
      <w:pPr>
        <w:pStyle w:val="Heading3"/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</w:pPr>
      <w:bookmarkStart w:id="11" w:name="_Toc218610557"/>
      <w:r w:rsidRPr="00241B95"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  <w:t>Grilă de evaluare</w:t>
      </w:r>
      <w:bookmarkEnd w:id="11"/>
    </w:p>
    <w:p w:rsidR="00241B95" w:rsidRPr="00241B95" w:rsidRDefault="00241B95" w:rsidP="00241B95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În anexele la Ghidul pentru profesori de replicare a proiectului „</w:t>
      </w:r>
      <w:proofErr w:type="spellStart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Ecomonografii</w:t>
      </w:r>
      <w:proofErr w:type="spellEnd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; de și pentru copii” se găsesc grile de evaluare, de autoevaluare, de evaluare a grupurilor și de evaluare a colegilor (</w:t>
      </w:r>
      <w:proofErr w:type="spellStart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t>peer</w:t>
      </w:r>
      <w:proofErr w:type="spellEnd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t xml:space="preserve"> </w:t>
      </w:r>
      <w:proofErr w:type="spellStart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lastRenderedPageBreak/>
        <w:t>review</w:t>
      </w:r>
      <w:proofErr w:type="spellEnd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) adaptate cunoștințelor acumulate prin parcurgerea AIE 4.4. și 4.5. (respectiv activitățile asociate următoarelor aspecte de mediu: „poluarea cu deșeuri” și „managementul deșeurilor”)</w:t>
      </w:r>
      <w:r w:rsidR="00101ECC"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.</w:t>
      </w:r>
    </w:p>
    <w:sectPr w:rsidR="00241B95" w:rsidRPr="00241B95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10A" w:rsidRDefault="0009010A" w:rsidP="00A22E4D">
      <w:r>
        <w:separator/>
      </w:r>
    </w:p>
  </w:endnote>
  <w:endnote w:type="continuationSeparator" w:id="0">
    <w:p w:rsidR="0009010A" w:rsidRDefault="0009010A" w:rsidP="00A2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0819259"/>
      <w:docPartObj>
        <w:docPartGallery w:val="Page Numbers (Bottom of Page)"/>
        <w:docPartUnique/>
      </w:docPartObj>
    </w:sdtPr>
    <w:sdtContent>
      <w:p w:rsidR="00A22E4D" w:rsidRDefault="00A22E4D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22E4D" w:rsidRDefault="00A22E4D" w:rsidP="00A22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1737661"/>
      <w:docPartObj>
        <w:docPartGallery w:val="Page Numbers (Bottom of Page)"/>
        <w:docPartUnique/>
      </w:docPartObj>
    </w:sdtPr>
    <w:sdtContent>
      <w:p w:rsidR="00A22E4D" w:rsidRDefault="00A22E4D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22E4D" w:rsidRDefault="00A22E4D" w:rsidP="00A22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10A" w:rsidRDefault="0009010A" w:rsidP="00A22E4D">
      <w:r>
        <w:separator/>
      </w:r>
    </w:p>
  </w:footnote>
  <w:footnote w:type="continuationSeparator" w:id="0">
    <w:p w:rsidR="0009010A" w:rsidRDefault="0009010A" w:rsidP="00A2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ABC"/>
    <w:multiLevelType w:val="multilevel"/>
    <w:tmpl w:val="F20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C09"/>
    <w:multiLevelType w:val="hybridMultilevel"/>
    <w:tmpl w:val="B8A8A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38DC"/>
    <w:multiLevelType w:val="hybridMultilevel"/>
    <w:tmpl w:val="17CA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5AC6"/>
    <w:multiLevelType w:val="multilevel"/>
    <w:tmpl w:val="66F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F4C3C"/>
    <w:multiLevelType w:val="multilevel"/>
    <w:tmpl w:val="B4DC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D3BD5"/>
    <w:multiLevelType w:val="multilevel"/>
    <w:tmpl w:val="23C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1399B"/>
    <w:multiLevelType w:val="multilevel"/>
    <w:tmpl w:val="676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05359"/>
    <w:multiLevelType w:val="hybridMultilevel"/>
    <w:tmpl w:val="8D1E1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3536"/>
    <w:multiLevelType w:val="multilevel"/>
    <w:tmpl w:val="4FEE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913BB"/>
    <w:multiLevelType w:val="multilevel"/>
    <w:tmpl w:val="3F64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41A9"/>
    <w:multiLevelType w:val="multilevel"/>
    <w:tmpl w:val="4306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219CE"/>
    <w:multiLevelType w:val="hybridMultilevel"/>
    <w:tmpl w:val="CF0812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B6D90"/>
    <w:multiLevelType w:val="multilevel"/>
    <w:tmpl w:val="F40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96C45"/>
    <w:multiLevelType w:val="multilevel"/>
    <w:tmpl w:val="AAC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2700C"/>
    <w:multiLevelType w:val="multilevel"/>
    <w:tmpl w:val="91D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A3681"/>
    <w:multiLevelType w:val="multilevel"/>
    <w:tmpl w:val="7FC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5223B9"/>
    <w:multiLevelType w:val="multilevel"/>
    <w:tmpl w:val="7418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26E13"/>
    <w:multiLevelType w:val="multilevel"/>
    <w:tmpl w:val="61A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C487A"/>
    <w:multiLevelType w:val="multilevel"/>
    <w:tmpl w:val="81901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8817174">
    <w:abstractNumId w:val="9"/>
  </w:num>
  <w:num w:numId="2" w16cid:durableId="904682063">
    <w:abstractNumId w:val="6"/>
  </w:num>
  <w:num w:numId="3" w16cid:durableId="2014339417">
    <w:abstractNumId w:val="8"/>
  </w:num>
  <w:num w:numId="4" w16cid:durableId="17170511">
    <w:abstractNumId w:val="18"/>
  </w:num>
  <w:num w:numId="5" w16cid:durableId="170411637">
    <w:abstractNumId w:val="14"/>
  </w:num>
  <w:num w:numId="6" w16cid:durableId="1303463595">
    <w:abstractNumId w:val="5"/>
  </w:num>
  <w:num w:numId="7" w16cid:durableId="2101171640">
    <w:abstractNumId w:val="7"/>
  </w:num>
  <w:num w:numId="8" w16cid:durableId="775442417">
    <w:abstractNumId w:val="2"/>
  </w:num>
  <w:num w:numId="9" w16cid:durableId="748187310">
    <w:abstractNumId w:val="15"/>
  </w:num>
  <w:num w:numId="10" w16cid:durableId="1767924027">
    <w:abstractNumId w:val="4"/>
  </w:num>
  <w:num w:numId="11" w16cid:durableId="1075661487">
    <w:abstractNumId w:val="10"/>
  </w:num>
  <w:num w:numId="12" w16cid:durableId="436944975">
    <w:abstractNumId w:val="16"/>
  </w:num>
  <w:num w:numId="13" w16cid:durableId="1965111636">
    <w:abstractNumId w:val="12"/>
  </w:num>
  <w:num w:numId="14" w16cid:durableId="210115749">
    <w:abstractNumId w:val="0"/>
  </w:num>
  <w:num w:numId="15" w16cid:durableId="1934849519">
    <w:abstractNumId w:val="3"/>
  </w:num>
  <w:num w:numId="16" w16cid:durableId="1411542699">
    <w:abstractNumId w:val="17"/>
  </w:num>
  <w:num w:numId="17" w16cid:durableId="1469661671">
    <w:abstractNumId w:val="1"/>
  </w:num>
  <w:num w:numId="18" w16cid:durableId="266038460">
    <w:abstractNumId w:val="11"/>
  </w:num>
  <w:num w:numId="19" w16cid:durableId="94372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C4"/>
    <w:rsid w:val="00027545"/>
    <w:rsid w:val="0009010A"/>
    <w:rsid w:val="000E2D82"/>
    <w:rsid w:val="00101ECC"/>
    <w:rsid w:val="001A6B45"/>
    <w:rsid w:val="00241B95"/>
    <w:rsid w:val="00327B78"/>
    <w:rsid w:val="0038032B"/>
    <w:rsid w:val="004C5956"/>
    <w:rsid w:val="008E44A3"/>
    <w:rsid w:val="00A22E4D"/>
    <w:rsid w:val="00BB0EA0"/>
    <w:rsid w:val="00C02BA4"/>
    <w:rsid w:val="00CA5890"/>
    <w:rsid w:val="00D16078"/>
    <w:rsid w:val="00D258C4"/>
    <w:rsid w:val="00E25E97"/>
    <w:rsid w:val="00E74150"/>
    <w:rsid w:val="00F948AD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02F0A"/>
  <w15:chartTrackingRefBased/>
  <w15:docId w15:val="{8BFD7C06-4DBE-2149-A38B-BBFD689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58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58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8C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258C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58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58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5E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25E97"/>
    <w:rPr>
      <w:b/>
      <w:bCs/>
    </w:rPr>
  </w:style>
  <w:style w:type="paragraph" w:styleId="ListParagraph">
    <w:name w:val="List Paragraph"/>
    <w:basedOn w:val="Normal"/>
    <w:uiPriority w:val="34"/>
    <w:qFormat/>
    <w:rsid w:val="00E25E9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8032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8032B"/>
    <w:pPr>
      <w:spacing w:after="100"/>
      <w:ind w:left="480"/>
    </w:pPr>
  </w:style>
  <w:style w:type="paragraph" w:styleId="Footer">
    <w:name w:val="footer"/>
    <w:basedOn w:val="Normal"/>
    <w:link w:val="FooterChar"/>
    <w:uiPriority w:val="99"/>
    <w:unhideWhenUsed/>
    <w:rsid w:val="00A22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4D"/>
  </w:style>
  <w:style w:type="character" w:styleId="PageNumber">
    <w:name w:val="page number"/>
    <w:basedOn w:val="DefaultParagraphFont"/>
    <w:uiPriority w:val="99"/>
    <w:semiHidden/>
    <w:unhideWhenUsed/>
    <w:rsid w:val="00A22E4D"/>
  </w:style>
  <w:style w:type="character" w:customStyle="1" w:styleId="Heading4Char">
    <w:name w:val="Heading 4 Char"/>
    <w:basedOn w:val="DefaultParagraphFont"/>
    <w:link w:val="Heading4"/>
    <w:uiPriority w:val="9"/>
    <w:rsid w:val="00241B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241B95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241B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XtXYHzNMM&amp;t=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GXi_9A__V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jantea</dc:creator>
  <cp:keywords/>
  <dc:description/>
  <cp:lastModifiedBy>alina jantea</cp:lastModifiedBy>
  <cp:revision>2</cp:revision>
  <dcterms:created xsi:type="dcterms:W3CDTF">2026-01-06T14:57:00Z</dcterms:created>
  <dcterms:modified xsi:type="dcterms:W3CDTF">2026-01-06T14:57:00Z</dcterms:modified>
</cp:coreProperties>
</file>